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D9" w:rsidRPr="00540FD9" w:rsidRDefault="00540FD9">
      <w:pPr>
        <w:rPr>
          <w:b/>
          <w:u w:val="single"/>
        </w:rPr>
      </w:pPr>
      <w:r w:rsidRPr="00540FD9">
        <w:rPr>
          <w:b/>
          <w:u w:val="single"/>
        </w:rPr>
        <w:t>CA and</w:t>
      </w:r>
      <w:r w:rsidR="008310E0">
        <w:rPr>
          <w:b/>
          <w:u w:val="single"/>
        </w:rPr>
        <w:t xml:space="preserve"> LEP – Schedule of Intent – July</w:t>
      </w:r>
      <w:r w:rsidRPr="00540FD9">
        <w:rPr>
          <w:b/>
          <w:u w:val="single"/>
        </w:rPr>
        <w:t xml:space="preserve"> 16</w:t>
      </w:r>
    </w:p>
    <w:p w:rsidR="00540FD9" w:rsidRDefault="00540FD9">
      <w:bookmarkStart w:id="0" w:name="_GoBack"/>
      <w:bookmarkEnd w:id="0"/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3118"/>
        <w:gridCol w:w="3402"/>
        <w:gridCol w:w="3289"/>
      </w:tblGrid>
      <w:tr w:rsidR="000600BB" w:rsidRPr="00540FD9" w:rsidTr="001972F9">
        <w:trPr>
          <w:tblHeader/>
        </w:trPr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t>CA Theme</w:t>
            </w:r>
          </w:p>
        </w:tc>
        <w:tc>
          <w:tcPr>
            <w:tcW w:w="2693" w:type="dxa"/>
          </w:tcPr>
          <w:p w:rsidR="000600BB" w:rsidRPr="00540FD9" w:rsidRDefault="000600BB">
            <w:pPr>
              <w:rPr>
                <w:b/>
              </w:rPr>
            </w:pPr>
            <w:r w:rsidRPr="00540FD9">
              <w:rPr>
                <w:b/>
              </w:rPr>
              <w:t>Policy</w:t>
            </w:r>
          </w:p>
        </w:tc>
        <w:tc>
          <w:tcPr>
            <w:tcW w:w="3118" w:type="dxa"/>
          </w:tcPr>
          <w:p w:rsidR="000600BB" w:rsidRPr="00540FD9" w:rsidRDefault="000600BB">
            <w:pPr>
              <w:rPr>
                <w:b/>
              </w:rPr>
            </w:pPr>
            <w:r w:rsidRPr="00540FD9">
              <w:rPr>
                <w:b/>
              </w:rPr>
              <w:t>Strategy</w:t>
            </w:r>
          </w:p>
        </w:tc>
        <w:tc>
          <w:tcPr>
            <w:tcW w:w="3402" w:type="dxa"/>
          </w:tcPr>
          <w:p w:rsidR="000600BB" w:rsidRPr="00540FD9" w:rsidRDefault="000600BB">
            <w:pPr>
              <w:rPr>
                <w:b/>
              </w:rPr>
            </w:pPr>
            <w:r w:rsidRPr="00540FD9">
              <w:rPr>
                <w:b/>
              </w:rPr>
              <w:t>Implementation</w:t>
            </w:r>
          </w:p>
        </w:tc>
        <w:tc>
          <w:tcPr>
            <w:tcW w:w="3289" w:type="dxa"/>
          </w:tcPr>
          <w:p w:rsidR="000600BB" w:rsidRPr="00540FD9" w:rsidRDefault="000600BB">
            <w:pPr>
              <w:rPr>
                <w:b/>
              </w:rPr>
            </w:pPr>
            <w:r>
              <w:rPr>
                <w:b/>
              </w:rPr>
              <w:t>Transition issues</w:t>
            </w:r>
          </w:p>
        </w:tc>
      </w:tr>
      <w:tr w:rsidR="000600BB" w:rsidRPr="005A3C8F" w:rsidTr="001972F9"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t>Housing</w:t>
            </w:r>
          </w:p>
          <w:p w:rsidR="000600BB" w:rsidRPr="003437EF" w:rsidRDefault="000600BB" w:rsidP="003437EF"/>
          <w:p w:rsidR="000600BB" w:rsidRPr="003437EF" w:rsidRDefault="000600BB" w:rsidP="003437EF"/>
          <w:p w:rsidR="000600BB" w:rsidRPr="003437EF" w:rsidRDefault="000600BB" w:rsidP="003437EF"/>
          <w:p w:rsidR="000600BB" w:rsidRPr="003437EF" w:rsidRDefault="000600BB" w:rsidP="003437EF"/>
          <w:p w:rsidR="000600BB" w:rsidRPr="003437EF" w:rsidRDefault="000600BB" w:rsidP="003437EF"/>
          <w:p w:rsidR="000600BB" w:rsidRPr="003437EF" w:rsidRDefault="000600BB" w:rsidP="003437EF">
            <w:pPr>
              <w:jc w:val="center"/>
              <w:rPr>
                <w:lang w:val="en-GB"/>
              </w:rPr>
            </w:pPr>
          </w:p>
        </w:tc>
        <w:tc>
          <w:tcPr>
            <w:tcW w:w="2693" w:type="dxa"/>
          </w:tcPr>
          <w:p w:rsidR="000600BB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formulates and sets policy as part of wider Lancashire Plan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Default="000600BB" w:rsidP="00577198">
            <w:pPr>
              <w:rPr>
                <w:sz w:val="20"/>
              </w:rPr>
            </w:pPr>
            <w:r w:rsidRPr="005A3C8F">
              <w:rPr>
                <w:sz w:val="20"/>
              </w:rPr>
              <w:t>LEP: input to policy formulation with focus on growth and productivity drivers</w:t>
            </w:r>
          </w:p>
          <w:p w:rsidR="00E01AD3" w:rsidRDefault="00E01AD3" w:rsidP="00577198">
            <w:pPr>
              <w:rPr>
                <w:sz w:val="20"/>
              </w:rPr>
            </w:pPr>
          </w:p>
          <w:p w:rsidR="00E01AD3" w:rsidRPr="00E01AD3" w:rsidRDefault="00E01AD3" w:rsidP="008D7AC5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0600BB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defines strategy with input from LEP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LEP: input from LEP reflecting prosperity strategy (SEP2) and market knowledge</w:t>
            </w:r>
          </w:p>
          <w:p w:rsidR="000600BB" w:rsidRPr="005A3C8F" w:rsidRDefault="000600B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600BB" w:rsidRDefault="000600BB" w:rsidP="00174322">
            <w:pPr>
              <w:rPr>
                <w:sz w:val="20"/>
              </w:rPr>
            </w:pPr>
          </w:p>
          <w:p w:rsidR="000600BB" w:rsidRPr="005A3C8F" w:rsidRDefault="000600BB" w:rsidP="00174322">
            <w:pPr>
              <w:rPr>
                <w:sz w:val="20"/>
              </w:rPr>
            </w:pPr>
            <w:r w:rsidRPr="005A3C8F">
              <w:rPr>
                <w:sz w:val="20"/>
              </w:rPr>
              <w:t>CA: directs, manages and monitors programmes of investment where funding is via CA, liaising with LEP</w:t>
            </w:r>
          </w:p>
          <w:p w:rsidR="000600BB" w:rsidRPr="005A3C8F" w:rsidRDefault="000600BB" w:rsidP="00174322">
            <w:pPr>
              <w:rPr>
                <w:sz w:val="20"/>
              </w:rPr>
            </w:pPr>
          </w:p>
          <w:p w:rsidR="000600BB" w:rsidRPr="005A3C8F" w:rsidRDefault="000600BB" w:rsidP="00174322">
            <w:pPr>
              <w:rPr>
                <w:sz w:val="20"/>
              </w:rPr>
            </w:pPr>
            <w:r w:rsidRPr="005A3C8F">
              <w:rPr>
                <w:sz w:val="20"/>
              </w:rPr>
              <w:t>LEP: directs, manages and mon</w:t>
            </w:r>
            <w:r>
              <w:rPr>
                <w:sz w:val="20"/>
              </w:rPr>
              <w:t xml:space="preserve">itors programmes of investment </w:t>
            </w:r>
            <w:r w:rsidRPr="005A3C8F">
              <w:rPr>
                <w:sz w:val="20"/>
              </w:rPr>
              <w:t>where funding is via LEP, liaising with CA</w:t>
            </w:r>
          </w:p>
          <w:p w:rsidR="000600BB" w:rsidRPr="005A3C8F" w:rsidRDefault="000600BB" w:rsidP="00174322">
            <w:pPr>
              <w:rPr>
                <w:sz w:val="20"/>
              </w:rPr>
            </w:pPr>
          </w:p>
          <w:p w:rsidR="000600BB" w:rsidRPr="005A3C8F" w:rsidRDefault="000600BB" w:rsidP="00174322">
            <w:pPr>
              <w:rPr>
                <w:sz w:val="20"/>
              </w:rPr>
            </w:pPr>
            <w:r w:rsidRPr="005A3C8F">
              <w:rPr>
                <w:sz w:val="20"/>
              </w:rPr>
              <w:t>Note: Opportunities to strengthen joint relationships with HCA and public/private providers/developers</w:t>
            </w: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0600BB" w:rsidRDefault="000600BB" w:rsidP="00174322">
            <w:pPr>
              <w:rPr>
                <w:sz w:val="20"/>
              </w:rPr>
            </w:pPr>
          </w:p>
          <w:p w:rsidR="000600BB" w:rsidRPr="005A3C8F" w:rsidRDefault="000600BB" w:rsidP="000600BB">
            <w:pPr>
              <w:rPr>
                <w:sz w:val="20"/>
              </w:rPr>
            </w:pPr>
          </w:p>
        </w:tc>
      </w:tr>
      <w:tr w:rsidR="000600BB" w:rsidRPr="005A3C8F" w:rsidTr="001972F9"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t>Prosperity</w:t>
            </w:r>
          </w:p>
        </w:tc>
        <w:tc>
          <w:tcPr>
            <w:tcW w:w="2693" w:type="dxa"/>
          </w:tcPr>
          <w:p w:rsidR="004941BF" w:rsidRDefault="004941BF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sets policy as part of wider Lancashire Plan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  <w:r w:rsidRPr="005A3C8F">
              <w:rPr>
                <w:sz w:val="20"/>
              </w:rPr>
              <w:t>LEP: defines realistic aspiration and formulates policy with focus on growth and productivity drivers</w:t>
            </w:r>
          </w:p>
        </w:tc>
        <w:tc>
          <w:tcPr>
            <w:tcW w:w="3118" w:type="dxa"/>
          </w:tcPr>
          <w:p w:rsidR="000600BB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signs-off "prosperity" strategies and growth bids; Leads on CA (and Mayoral) bids for funding with input from LEP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  <w:r w:rsidRPr="005A3C8F">
              <w:rPr>
                <w:sz w:val="20"/>
              </w:rPr>
              <w:t>LEP: leads on prosperity strategy development (SEP2, including investment strategy), with input from local authorities; leads on LEP bids for investment/funding</w:t>
            </w: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577198">
            <w:pPr>
              <w:rPr>
                <w:sz w:val="20"/>
              </w:rPr>
            </w:pPr>
          </w:p>
          <w:p w:rsidR="000600BB" w:rsidRPr="005A3C8F" w:rsidRDefault="000600BB" w:rsidP="007F2A6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600BB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directs, manages and monitors programmes of investment where funding is via CA, liaising with LEP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LEP: directs, manages and monitors programmes of investment where funding is via LEP, liaising with CA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Opportunity/requirement for shared scrutiny and performance management arrangements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Note: potential for joint teams to strengthen capacity and capability </w:t>
            </w:r>
          </w:p>
        </w:tc>
        <w:tc>
          <w:tcPr>
            <w:tcW w:w="3289" w:type="dxa"/>
          </w:tcPr>
          <w:p w:rsidR="000600BB" w:rsidRDefault="000600BB" w:rsidP="000600BB">
            <w:pPr>
              <w:rPr>
                <w:sz w:val="20"/>
              </w:rPr>
            </w:pPr>
          </w:p>
          <w:p w:rsidR="008D7AC5" w:rsidRDefault="008D7AC5" w:rsidP="004941BF">
            <w:pPr>
              <w:rPr>
                <w:sz w:val="20"/>
              </w:rPr>
            </w:pPr>
            <w:r>
              <w:rPr>
                <w:sz w:val="20"/>
              </w:rPr>
              <w:t>The LSEP is due for review in the autumn 2016.</w:t>
            </w:r>
          </w:p>
          <w:p w:rsidR="008D7AC5" w:rsidRDefault="008D7AC5" w:rsidP="004941BF">
            <w:pPr>
              <w:rPr>
                <w:sz w:val="20"/>
              </w:rPr>
            </w:pPr>
          </w:p>
          <w:p w:rsidR="008D7AC5" w:rsidRDefault="008D7AC5" w:rsidP="004941BF">
            <w:pPr>
              <w:rPr>
                <w:sz w:val="20"/>
              </w:rPr>
            </w:pPr>
            <w:r>
              <w:rPr>
                <w:sz w:val="20"/>
              </w:rPr>
              <w:t>The review period will be an opportunity for t</w:t>
            </w:r>
            <w:r w:rsidR="00E01AD3">
              <w:rPr>
                <w:sz w:val="20"/>
              </w:rPr>
              <w:t xml:space="preserve">he LSEP </w:t>
            </w:r>
            <w:r>
              <w:rPr>
                <w:sz w:val="20"/>
              </w:rPr>
              <w:t>to</w:t>
            </w:r>
            <w:r w:rsidR="00E01AD3">
              <w:rPr>
                <w:sz w:val="20"/>
              </w:rPr>
              <w:t xml:space="preserve"> be jointly developed and owned</w:t>
            </w:r>
            <w:r>
              <w:rPr>
                <w:sz w:val="20"/>
              </w:rPr>
              <w:t>.</w:t>
            </w:r>
          </w:p>
          <w:p w:rsidR="008D7AC5" w:rsidRDefault="008D7AC5" w:rsidP="004941BF">
            <w:pPr>
              <w:rPr>
                <w:sz w:val="20"/>
              </w:rPr>
            </w:pPr>
          </w:p>
          <w:p w:rsidR="001B0B76" w:rsidRPr="005A3C8F" w:rsidRDefault="008D7AC5" w:rsidP="008D7AC5">
            <w:pPr>
              <w:rPr>
                <w:sz w:val="20"/>
              </w:rPr>
            </w:pPr>
            <w:r>
              <w:rPr>
                <w:sz w:val="20"/>
              </w:rPr>
              <w:t>Accountability for funds</w:t>
            </w:r>
            <w:r w:rsidR="00E01AD3">
              <w:rPr>
                <w:sz w:val="20"/>
              </w:rPr>
              <w:t xml:space="preserve"> is a matter of fact</w:t>
            </w:r>
            <w:r>
              <w:rPr>
                <w:sz w:val="20"/>
              </w:rPr>
              <w:t>. |In practice schemes are likely to have multiple funding streams and therefore the management and monitoring will need to be decided on a case by case basis.</w:t>
            </w:r>
          </w:p>
        </w:tc>
      </w:tr>
      <w:tr w:rsidR="000600BB" w:rsidRPr="005A3C8F" w:rsidTr="001972F9"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lastRenderedPageBreak/>
              <w:t>Skills (and Employment)</w:t>
            </w:r>
          </w:p>
        </w:tc>
        <w:tc>
          <w:tcPr>
            <w:tcW w:w="2693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formulates and sets policy, in consultation with LEP, as part of the wider Lancashire Plan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LEP: inputs to policy formulation</w:t>
            </w:r>
          </w:p>
        </w:tc>
        <w:tc>
          <w:tcPr>
            <w:tcW w:w="3118" w:type="dxa"/>
          </w:tcPr>
          <w:p w:rsidR="006426E6" w:rsidRPr="005A3C8F" w:rsidRDefault="006426E6" w:rsidP="006426E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The CA and LEP will work together to hone the </w:t>
            </w:r>
            <w:r w:rsidR="008310E0" w:rsidRPr="008310E0">
              <w:rPr>
                <w:sz w:val="20"/>
                <w:szCs w:val="20"/>
              </w:rPr>
              <w:t xml:space="preserve">Existing Skills and Employment Strategy </w:t>
            </w:r>
            <w:r>
              <w:rPr>
                <w:sz w:val="20"/>
                <w:szCs w:val="20"/>
              </w:rPr>
              <w:t xml:space="preserve">and identify priorities for </w:t>
            </w:r>
            <w:r w:rsidR="008310E0" w:rsidRPr="008310E0">
              <w:rPr>
                <w:sz w:val="20"/>
                <w:szCs w:val="20"/>
              </w:rPr>
              <w:t xml:space="preserve">intervention </w:t>
            </w:r>
            <w:r>
              <w:rPr>
                <w:sz w:val="20"/>
                <w:szCs w:val="20"/>
              </w:rPr>
              <w:t>which the</w:t>
            </w:r>
            <w:r w:rsidR="008310E0" w:rsidRPr="00831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deliver the </w:t>
            </w:r>
            <w:r w:rsidR="008310E0" w:rsidRPr="008310E0">
              <w:rPr>
                <w:sz w:val="20"/>
                <w:szCs w:val="20"/>
              </w:rPr>
              <w:t>most value.</w:t>
            </w:r>
            <w:r>
              <w:rPr>
                <w:sz w:val="20"/>
                <w:szCs w:val="20"/>
              </w:rPr>
              <w:t xml:space="preserve"> This will </w:t>
            </w:r>
            <w:r w:rsidR="00C01B69">
              <w:rPr>
                <w:sz w:val="20"/>
                <w:szCs w:val="20"/>
              </w:rPr>
              <w:t>also include</w:t>
            </w:r>
            <w:r>
              <w:rPr>
                <w:sz w:val="20"/>
                <w:szCs w:val="20"/>
              </w:rPr>
              <w:t xml:space="preserve"> early years</w:t>
            </w:r>
            <w:r w:rsidR="00C01B69">
              <w:rPr>
                <w:sz w:val="20"/>
                <w:szCs w:val="20"/>
              </w:rPr>
              <w:t>,</w:t>
            </w:r>
            <w:r w:rsidRPr="00D05FA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primary and secondary </w:t>
            </w:r>
            <w:r w:rsidR="00C01B69">
              <w:rPr>
                <w:sz w:val="20"/>
              </w:rPr>
              <w:t xml:space="preserve">education </w:t>
            </w:r>
            <w:r>
              <w:rPr>
                <w:sz w:val="20"/>
              </w:rPr>
              <w:t xml:space="preserve">where there are gaps in performance and consideration of wider </w:t>
            </w:r>
            <w:r w:rsidR="00C01B69">
              <w:rPr>
                <w:sz w:val="20"/>
              </w:rPr>
              <w:t xml:space="preserve">interventions such as the </w:t>
            </w:r>
            <w:r>
              <w:rPr>
                <w:sz w:val="20"/>
              </w:rPr>
              <w:t xml:space="preserve">‘work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’</w:t>
            </w:r>
            <w:r w:rsidR="00C01B69">
              <w:rPr>
                <w:sz w:val="20"/>
              </w:rPr>
              <w:t xml:space="preserve">. </w:t>
            </w:r>
          </w:p>
          <w:p w:rsidR="008310E0" w:rsidRDefault="008310E0" w:rsidP="008310E0">
            <w:pPr>
              <w:pStyle w:val="PlainText"/>
              <w:rPr>
                <w:sz w:val="20"/>
                <w:szCs w:val="20"/>
              </w:rPr>
            </w:pPr>
          </w:p>
          <w:p w:rsidR="00C01B69" w:rsidRDefault="00C01B69" w:rsidP="00C01B6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shared</w:t>
            </w:r>
            <w:r w:rsidRPr="00831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aim of the </w:t>
            </w:r>
            <w:r w:rsidRPr="008310E0">
              <w:rPr>
                <w:sz w:val="20"/>
                <w:szCs w:val="20"/>
              </w:rPr>
              <w:t>CA/LEP</w:t>
            </w:r>
            <w:r>
              <w:rPr>
                <w:sz w:val="20"/>
                <w:szCs w:val="20"/>
              </w:rPr>
              <w:t xml:space="preserve"> will be to establish a</w:t>
            </w:r>
            <w:r w:rsidRPr="008310E0">
              <w:rPr>
                <w:sz w:val="20"/>
                <w:szCs w:val="20"/>
              </w:rPr>
              <w:t xml:space="preserve"> Skills and Employment Board reconstituting the existing Board to bring wider representation from business, community, and provide</w:t>
            </w:r>
            <w:r>
              <w:rPr>
                <w:sz w:val="20"/>
                <w:szCs w:val="20"/>
              </w:rPr>
              <w:t>r</w:t>
            </w:r>
            <w:r w:rsidRPr="008310E0">
              <w:rPr>
                <w:sz w:val="20"/>
                <w:szCs w:val="20"/>
              </w:rPr>
              <w:t xml:space="preserve">s at all levels. </w:t>
            </w:r>
          </w:p>
          <w:p w:rsidR="00C01B69" w:rsidRPr="008310E0" w:rsidRDefault="00C01B69" w:rsidP="008310E0">
            <w:pPr>
              <w:pStyle w:val="PlainText"/>
              <w:rPr>
                <w:sz w:val="20"/>
                <w:szCs w:val="20"/>
              </w:rPr>
            </w:pPr>
          </w:p>
          <w:p w:rsidR="006426E6" w:rsidRDefault="006426E6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 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directs, manages and monitors programmes of investment where funding is via CA, liaising with LEP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LEP: directs, manages and monitors programmes of investment where funding is via LEP, liaising with CA 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Note: potential for joint teams to strengthen capacity and capability</w:t>
            </w:r>
          </w:p>
        </w:tc>
        <w:tc>
          <w:tcPr>
            <w:tcW w:w="3289" w:type="dxa"/>
          </w:tcPr>
          <w:p w:rsidR="00E01AD3" w:rsidRDefault="00E01AD3">
            <w:pPr>
              <w:rPr>
                <w:sz w:val="20"/>
              </w:rPr>
            </w:pPr>
          </w:p>
          <w:p w:rsidR="000F27D9" w:rsidRDefault="00E01AD3">
            <w:pPr>
              <w:rPr>
                <w:sz w:val="20"/>
              </w:rPr>
            </w:pPr>
            <w:r>
              <w:rPr>
                <w:sz w:val="20"/>
              </w:rPr>
              <w:t xml:space="preserve">Again </w:t>
            </w:r>
            <w:r w:rsidR="008D7AC5">
              <w:rPr>
                <w:sz w:val="20"/>
              </w:rPr>
              <w:t>there is an opportunity for the CA to adopt the existing strategy as</w:t>
            </w:r>
            <w:r>
              <w:rPr>
                <w:sz w:val="20"/>
              </w:rPr>
              <w:t xml:space="preserve"> a joint and </w:t>
            </w:r>
            <w:r w:rsidR="008D7AC5">
              <w:rPr>
                <w:sz w:val="20"/>
              </w:rPr>
              <w:t xml:space="preserve">supported by a </w:t>
            </w:r>
            <w:r>
              <w:rPr>
                <w:sz w:val="20"/>
              </w:rPr>
              <w:t xml:space="preserve">joint </w:t>
            </w:r>
            <w:r w:rsidR="008D7AC5">
              <w:rPr>
                <w:sz w:val="20"/>
              </w:rPr>
              <w:t>board</w:t>
            </w:r>
            <w:r>
              <w:rPr>
                <w:sz w:val="20"/>
              </w:rPr>
              <w:t>.</w:t>
            </w:r>
          </w:p>
          <w:p w:rsidR="000600BB" w:rsidRDefault="00E01AD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01AD3" w:rsidRDefault="00E01AD3">
            <w:pPr>
              <w:rPr>
                <w:sz w:val="20"/>
              </w:rPr>
            </w:pPr>
          </w:p>
          <w:p w:rsidR="00E01AD3" w:rsidRPr="005A3C8F" w:rsidRDefault="00E01AD3">
            <w:pPr>
              <w:rPr>
                <w:sz w:val="20"/>
              </w:rPr>
            </w:pPr>
            <w:r>
              <w:rPr>
                <w:sz w:val="20"/>
              </w:rPr>
              <w:t>Agree potential for joint teams but also new work which might be more CA delivered</w:t>
            </w:r>
          </w:p>
        </w:tc>
      </w:tr>
      <w:tr w:rsidR="000600BB" w:rsidRPr="005A3C8F" w:rsidTr="001972F9"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t>Transport</w:t>
            </w:r>
          </w:p>
        </w:tc>
        <w:tc>
          <w:tcPr>
            <w:tcW w:w="2693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CA: formulates and sets policy through TfL, as part of wider Lancashire Plan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A919F5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LEP: input to policy formulation through 2 voting Members on TfL </w:t>
            </w:r>
            <w:r w:rsidRPr="005A3C8F">
              <w:rPr>
                <w:sz w:val="20"/>
              </w:rPr>
              <w:lastRenderedPageBreak/>
              <w:t>(note: retention of current LEP representation on TfL)</w:t>
            </w:r>
          </w:p>
        </w:tc>
        <w:tc>
          <w:tcPr>
            <w:tcW w:w="3118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lastRenderedPageBreak/>
              <w:t>CA: transport strategy underpinned by prosperity strategy and wider Lancashire Plan, but signed off by TfL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BD4BB5">
            <w:pPr>
              <w:rPr>
                <w:sz w:val="20"/>
              </w:rPr>
            </w:pPr>
            <w:r w:rsidRPr="005A3C8F">
              <w:rPr>
                <w:sz w:val="20"/>
              </w:rPr>
              <w:t>LEP: transport strategy driven by prosperity strategy, but signed off by TfL</w:t>
            </w:r>
          </w:p>
          <w:p w:rsidR="000600BB" w:rsidRPr="005A3C8F" w:rsidRDefault="000600BB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lastRenderedPageBreak/>
              <w:t>CA: directs, manages and monitors programmes of investment where funding is via CA, liaising with LEP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>LEP: directs, manages and mon</w:t>
            </w:r>
            <w:r>
              <w:rPr>
                <w:sz w:val="20"/>
              </w:rPr>
              <w:t xml:space="preserve">itors programmes of investment </w:t>
            </w:r>
            <w:r w:rsidRPr="005A3C8F">
              <w:rPr>
                <w:sz w:val="20"/>
              </w:rPr>
              <w:t>where funding is via LEP, liaising with CA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lastRenderedPageBreak/>
              <w:t>Note: potential for joint teams to strengthen capacity and capability</w:t>
            </w:r>
          </w:p>
        </w:tc>
        <w:tc>
          <w:tcPr>
            <w:tcW w:w="3289" w:type="dxa"/>
          </w:tcPr>
          <w:p w:rsidR="000600BB" w:rsidRDefault="000F27D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TLF has a direct relationship to the CA rather than the LEP although representation from the LEP remains unchanged.</w:t>
            </w:r>
          </w:p>
          <w:p w:rsidR="000F27D9" w:rsidRDefault="000F27D9">
            <w:pPr>
              <w:rPr>
                <w:sz w:val="20"/>
              </w:rPr>
            </w:pPr>
          </w:p>
          <w:p w:rsidR="000F27D9" w:rsidRDefault="000F27D9">
            <w:pPr>
              <w:rPr>
                <w:sz w:val="20"/>
              </w:rPr>
            </w:pPr>
            <w:r>
              <w:rPr>
                <w:sz w:val="20"/>
              </w:rPr>
              <w:t xml:space="preserve">There is an undertaking within the CA to move to shared accountability and liability amongst all 14 </w:t>
            </w:r>
            <w:r>
              <w:rPr>
                <w:sz w:val="20"/>
              </w:rPr>
              <w:lastRenderedPageBreak/>
              <w:t xml:space="preserve">authorities. Current TFL authorities using their best </w:t>
            </w:r>
            <w:proofErr w:type="spellStart"/>
            <w:r>
              <w:rPr>
                <w:sz w:val="20"/>
              </w:rPr>
              <w:t>endeavours</w:t>
            </w:r>
            <w:proofErr w:type="spellEnd"/>
            <w:r>
              <w:rPr>
                <w:sz w:val="20"/>
              </w:rPr>
              <w:t xml:space="preserve"> to make this change.</w:t>
            </w:r>
          </w:p>
          <w:p w:rsidR="000F27D9" w:rsidRDefault="000F27D9">
            <w:pPr>
              <w:rPr>
                <w:sz w:val="20"/>
              </w:rPr>
            </w:pPr>
          </w:p>
          <w:p w:rsidR="00E01AD3" w:rsidRPr="005A3C8F" w:rsidRDefault="00E01AD3">
            <w:pPr>
              <w:rPr>
                <w:sz w:val="20"/>
              </w:rPr>
            </w:pPr>
            <w:r>
              <w:rPr>
                <w:sz w:val="20"/>
              </w:rPr>
              <w:t>See above on accountabilities but the main thrust here is TFL board remains the same but its principal accountability is to the CA</w:t>
            </w:r>
          </w:p>
        </w:tc>
      </w:tr>
      <w:tr w:rsidR="000600BB" w:rsidRPr="005A3C8F" w:rsidTr="001972F9">
        <w:tc>
          <w:tcPr>
            <w:tcW w:w="1668" w:type="dxa"/>
          </w:tcPr>
          <w:p w:rsidR="000600BB" w:rsidRPr="005A3C8F" w:rsidRDefault="000600BB">
            <w:pPr>
              <w:rPr>
                <w:b/>
              </w:rPr>
            </w:pPr>
            <w:r w:rsidRPr="005A3C8F">
              <w:rPr>
                <w:b/>
              </w:rPr>
              <w:lastRenderedPageBreak/>
              <w:t>Governance</w:t>
            </w:r>
          </w:p>
        </w:tc>
        <w:tc>
          <w:tcPr>
            <w:tcW w:w="2693" w:type="dxa"/>
          </w:tcPr>
          <w:p w:rsidR="000600BB" w:rsidRPr="005A3C8F" w:rsidRDefault="000600BB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CA: formulates and sets CA governance and legal framework, with LEP consulted on current/future proposals </w:t>
            </w:r>
          </w:p>
          <w:p w:rsidR="000600BB" w:rsidRPr="005A3C8F" w:rsidRDefault="000600BB">
            <w:pPr>
              <w:rPr>
                <w:sz w:val="20"/>
              </w:rPr>
            </w:pPr>
          </w:p>
          <w:p w:rsidR="000600BB" w:rsidRPr="005A3C8F" w:rsidRDefault="000600BB" w:rsidP="00EB0980">
            <w:pPr>
              <w:rPr>
                <w:sz w:val="20"/>
              </w:rPr>
            </w:pPr>
            <w:r w:rsidRPr="005A3C8F">
              <w:rPr>
                <w:sz w:val="20"/>
              </w:rPr>
              <w:t>LEP: LEP Chair a non-constituent member of the CA; LEP input to formulation of current/future CA governance and legal framework; agrees with CA the role and responsibilities of</w:t>
            </w:r>
            <w:r>
              <w:rPr>
                <w:sz w:val="20"/>
              </w:rPr>
              <w:t xml:space="preserve"> the LEP within new framework</w:t>
            </w:r>
          </w:p>
        </w:tc>
        <w:tc>
          <w:tcPr>
            <w:tcW w:w="3118" w:type="dxa"/>
          </w:tcPr>
          <w:p w:rsidR="000600BB" w:rsidRPr="00207FF1" w:rsidRDefault="000600BB">
            <w:pPr>
              <w:rPr>
                <w:sz w:val="20"/>
              </w:rPr>
            </w:pPr>
            <w:r w:rsidRPr="00207FF1">
              <w:rPr>
                <w:sz w:val="20"/>
              </w:rPr>
              <w:t xml:space="preserve">CA: </w:t>
            </w:r>
            <w:r>
              <w:rPr>
                <w:sz w:val="20"/>
              </w:rPr>
              <w:t xml:space="preserve">Leads on development of current and </w:t>
            </w:r>
            <w:r w:rsidRPr="00207FF1">
              <w:rPr>
                <w:sz w:val="20"/>
              </w:rPr>
              <w:t>future Governan</w:t>
            </w:r>
            <w:r>
              <w:rPr>
                <w:sz w:val="20"/>
              </w:rPr>
              <w:t>ce Reviews. Leads on</w:t>
            </w:r>
            <w:r w:rsidRPr="00207FF1">
              <w:rPr>
                <w:sz w:val="20"/>
              </w:rPr>
              <w:t xml:space="preserve"> CA schemes, orders, constitution and other legal instruments; Leads on all CA consultation and communications</w:t>
            </w:r>
          </w:p>
          <w:p w:rsidR="000600BB" w:rsidRPr="001145DF" w:rsidRDefault="000600BB">
            <w:pPr>
              <w:rPr>
                <w:sz w:val="20"/>
                <w:highlight w:val="yellow"/>
              </w:rPr>
            </w:pPr>
          </w:p>
          <w:p w:rsidR="000600BB" w:rsidRPr="001145DF" w:rsidRDefault="000600BB" w:rsidP="0017432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LEP: formal input</w:t>
            </w:r>
            <w:r w:rsidRPr="00207FF1">
              <w:rPr>
                <w:sz w:val="20"/>
              </w:rPr>
              <w:t xml:space="preserve"> to current</w:t>
            </w:r>
            <w:r>
              <w:rPr>
                <w:sz w:val="20"/>
              </w:rPr>
              <w:t xml:space="preserve"> and </w:t>
            </w:r>
            <w:r w:rsidRPr="00207FF1">
              <w:rPr>
                <w:sz w:val="20"/>
              </w:rPr>
              <w:t>future developments of the CA governance and legal framework</w:t>
            </w:r>
          </w:p>
        </w:tc>
        <w:tc>
          <w:tcPr>
            <w:tcW w:w="3402" w:type="dxa"/>
          </w:tcPr>
          <w:p w:rsidR="000600BB" w:rsidRPr="005A3C8F" w:rsidRDefault="000600BB" w:rsidP="00C41D80">
            <w:pPr>
              <w:rPr>
                <w:sz w:val="20"/>
              </w:rPr>
            </w:pPr>
            <w:r w:rsidRPr="005A3C8F">
              <w:rPr>
                <w:sz w:val="20"/>
              </w:rPr>
              <w:t>CA: directs/manages CA governance and legal framework, and establishes scrutiny arrangements in consultation with LEP and other key stakeholders</w:t>
            </w:r>
          </w:p>
          <w:p w:rsidR="000600BB" w:rsidRPr="005A3C8F" w:rsidRDefault="000600BB" w:rsidP="00C41D80">
            <w:pPr>
              <w:rPr>
                <w:sz w:val="20"/>
              </w:rPr>
            </w:pPr>
          </w:p>
          <w:p w:rsidR="000600BB" w:rsidRDefault="000600BB" w:rsidP="00C41D80">
            <w:pPr>
              <w:rPr>
                <w:sz w:val="20"/>
              </w:rPr>
            </w:pPr>
          </w:p>
          <w:p w:rsidR="000600BB" w:rsidRPr="005A3C8F" w:rsidRDefault="000600BB" w:rsidP="00C41D80">
            <w:pPr>
              <w:rPr>
                <w:sz w:val="20"/>
              </w:rPr>
            </w:pPr>
            <w:r w:rsidRPr="005A3C8F">
              <w:rPr>
                <w:sz w:val="20"/>
              </w:rPr>
              <w:t xml:space="preserve">LEP: directs/manages LEP governance and legal framework; LEP modifies </w:t>
            </w:r>
            <w:r>
              <w:rPr>
                <w:sz w:val="20"/>
              </w:rPr>
              <w:t xml:space="preserve">its </w:t>
            </w:r>
            <w:r w:rsidRPr="00C95C49">
              <w:rPr>
                <w:sz w:val="20"/>
              </w:rPr>
              <w:t>Performance Committee and Assurance Framework in recognition of established CA and new scrutiny arrangements</w:t>
            </w:r>
          </w:p>
        </w:tc>
        <w:tc>
          <w:tcPr>
            <w:tcW w:w="3289" w:type="dxa"/>
          </w:tcPr>
          <w:p w:rsidR="000F27D9" w:rsidRDefault="001972F9" w:rsidP="000F27D9">
            <w:pPr>
              <w:rPr>
                <w:sz w:val="20"/>
              </w:rPr>
            </w:pPr>
            <w:r>
              <w:rPr>
                <w:sz w:val="20"/>
              </w:rPr>
              <w:t>The CA will have an O&amp;S function</w:t>
            </w:r>
            <w:r w:rsidR="000F27D9">
              <w:rPr>
                <w:sz w:val="20"/>
              </w:rPr>
              <w:t xml:space="preserve">; audit and performance. </w:t>
            </w:r>
          </w:p>
          <w:p w:rsidR="001972F9" w:rsidRPr="005A3C8F" w:rsidRDefault="000F27D9" w:rsidP="000F27D9">
            <w:pPr>
              <w:rPr>
                <w:sz w:val="20"/>
              </w:rPr>
            </w:pPr>
            <w:r>
              <w:rPr>
                <w:sz w:val="20"/>
              </w:rPr>
              <w:t xml:space="preserve">There may be opportunities for shared structures and or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particularly with O&amp;S</w:t>
            </w:r>
            <w:r w:rsidR="001972F9">
              <w:rPr>
                <w:sz w:val="20"/>
              </w:rPr>
              <w:t xml:space="preserve">. </w:t>
            </w:r>
          </w:p>
        </w:tc>
      </w:tr>
    </w:tbl>
    <w:p w:rsidR="00540FD9" w:rsidRDefault="00540FD9"/>
    <w:sectPr w:rsidR="00540FD9" w:rsidSect="00540FD9">
      <w:headerReference w:type="default" r:id="rId6"/>
      <w:pgSz w:w="16834" w:h="11901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21" w:rsidRDefault="00346C21" w:rsidP="00346C21">
      <w:r>
        <w:separator/>
      </w:r>
    </w:p>
  </w:endnote>
  <w:endnote w:type="continuationSeparator" w:id="0">
    <w:p w:rsidR="00346C21" w:rsidRDefault="00346C21" w:rsidP="003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21" w:rsidRDefault="00346C21" w:rsidP="00346C21">
      <w:r>
        <w:separator/>
      </w:r>
    </w:p>
  </w:footnote>
  <w:footnote w:type="continuationSeparator" w:id="0">
    <w:p w:rsidR="00346C21" w:rsidRDefault="00346C21" w:rsidP="0034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21" w:rsidRPr="00346C21" w:rsidRDefault="00346C21" w:rsidP="00346C21">
    <w:pPr>
      <w:pStyle w:val="Header"/>
      <w:jc w:val="right"/>
      <w:rPr>
        <w:rFonts w:ascii="Arial" w:hAnsi="Arial" w:cs="Arial"/>
        <w:b/>
      </w:rPr>
    </w:pPr>
    <w:r w:rsidRPr="00346C21">
      <w:rPr>
        <w:rFonts w:ascii="Arial" w:hAnsi="Arial" w:cs="Arial"/>
        <w:b/>
      </w:rPr>
      <w:t>Appendix 'A'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E2"/>
    <w:rsid w:val="000600BB"/>
    <w:rsid w:val="000F27D9"/>
    <w:rsid w:val="001145DF"/>
    <w:rsid w:val="00174322"/>
    <w:rsid w:val="001972F9"/>
    <w:rsid w:val="001B0B76"/>
    <w:rsid w:val="002012BB"/>
    <w:rsid w:val="00207FF1"/>
    <w:rsid w:val="003437EF"/>
    <w:rsid w:val="00346C21"/>
    <w:rsid w:val="00365E44"/>
    <w:rsid w:val="004613A4"/>
    <w:rsid w:val="004853B6"/>
    <w:rsid w:val="004941BF"/>
    <w:rsid w:val="00540FD9"/>
    <w:rsid w:val="00577198"/>
    <w:rsid w:val="005A3C8F"/>
    <w:rsid w:val="006426E6"/>
    <w:rsid w:val="007F2A6C"/>
    <w:rsid w:val="008310E0"/>
    <w:rsid w:val="008D7AC5"/>
    <w:rsid w:val="009B6098"/>
    <w:rsid w:val="009D45E2"/>
    <w:rsid w:val="00A919F5"/>
    <w:rsid w:val="00BB080D"/>
    <w:rsid w:val="00BD4BB5"/>
    <w:rsid w:val="00C01B69"/>
    <w:rsid w:val="00C14841"/>
    <w:rsid w:val="00C41D80"/>
    <w:rsid w:val="00C95C49"/>
    <w:rsid w:val="00D05FAD"/>
    <w:rsid w:val="00D0764D"/>
    <w:rsid w:val="00D40304"/>
    <w:rsid w:val="00E01AD3"/>
    <w:rsid w:val="00E92525"/>
    <w:rsid w:val="00EB0980"/>
    <w:rsid w:val="00F424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56EA-4301-4E82-8F0E-07BAF4B0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310E0"/>
    <w:rPr>
      <w:rFonts w:ascii="Calibri" w:eastAsiaTheme="minorEastAsia" w:hAnsi="Calibri" w:cs="Times New Roman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0E0"/>
    <w:rPr>
      <w:rFonts w:ascii="Calibri" w:eastAsiaTheme="minorEastAsia" w:hAnsi="Calibri" w:cs="Times New Roman"/>
      <w:sz w:val="22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46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C21"/>
  </w:style>
  <w:style w:type="paragraph" w:styleId="Footer">
    <w:name w:val="footer"/>
    <w:basedOn w:val="Normal"/>
    <w:link w:val="FooterChar"/>
    <w:uiPriority w:val="99"/>
    <w:unhideWhenUsed/>
    <w:rsid w:val="00346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Cowley</dc:creator>
  <cp:keywords/>
  <cp:lastModifiedBy>Milroy, Andy</cp:lastModifiedBy>
  <cp:revision>3</cp:revision>
  <dcterms:created xsi:type="dcterms:W3CDTF">2016-06-30T11:47:00Z</dcterms:created>
  <dcterms:modified xsi:type="dcterms:W3CDTF">2016-07-01T13:42:00Z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953281577</vt:i4>
  </property>
  <property fmtid="{D5CDD505-2E9C-101B-9397-08002B2CF9AE}" pid="3" name="_NewReviewCycle">
    <vt:lpwstr/>
  </property>
  <property fmtid="{D5CDD505-2E9C-101B-9397-08002B2CF9AE}" pid="4" name="_EmailSubject">
    <vt:lpwstr>documents</vt:lpwstr>
  </property>
  <property fmtid="{D5CDD505-2E9C-101B-9397-08002B2CF9AE}" pid="5" name="_AuthorEmail">
    <vt:lpwstr>l.norris@preston.gov.uk</vt:lpwstr>
  </property>
  <property fmtid="{D5CDD505-2E9C-101B-9397-08002B2CF9AE}" pid="6" name="_AuthorEmailDisplayName">
    <vt:lpwstr>Lorraine Norris</vt:lpwstr>
  </property>
  <property fmtid="{D5CDD505-2E9C-101B-9397-08002B2CF9AE}" pid="7" name="_ReviewingToolsShownOnce">
    <vt:lpwstr/>
  </property>
</Properties>
</file>